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Default="00D54451" w:rsidP="00D54451">
      <w:pPr>
        <w:rPr>
          <w:rFonts w:eastAsia="Calibri"/>
        </w:rPr>
      </w:pPr>
      <w:r>
        <w:rPr>
          <w:rFonts w:eastAsia="Calibri"/>
        </w:rPr>
        <w:t>ZP/XII/17/</w:t>
      </w:r>
      <w:r w:rsidR="003A1D37">
        <w:rPr>
          <w:rFonts w:eastAsia="Calibri"/>
        </w:rPr>
        <w:t>931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14.12.2017 r.</w:t>
      </w:r>
    </w:p>
    <w:p w:rsidR="00D54451" w:rsidRDefault="00D54451" w:rsidP="00D54451">
      <w:pPr>
        <w:spacing w:line="276" w:lineRule="auto"/>
        <w:rPr>
          <w:b/>
          <w:kern w:val="2"/>
          <w:lang w:eastAsia="ar-SA"/>
        </w:rPr>
      </w:pPr>
    </w:p>
    <w:p w:rsidR="00D54451" w:rsidRDefault="00D54451" w:rsidP="00D54451">
      <w:pPr>
        <w:spacing w:line="276" w:lineRule="auto"/>
        <w:rPr>
          <w:b/>
          <w:kern w:val="2"/>
          <w:lang w:eastAsia="ar-SA"/>
        </w:rPr>
      </w:pPr>
    </w:p>
    <w:p w:rsidR="00D54451" w:rsidRDefault="00D54451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D54451" w:rsidRDefault="00D54451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D54451" w:rsidRDefault="00D54451" w:rsidP="00D54451">
      <w:pPr>
        <w:spacing w:line="276" w:lineRule="auto"/>
        <w:jc w:val="center"/>
        <w:rPr>
          <w:rFonts w:eastAsia="Calibri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>
        <w:rPr>
          <w:rFonts w:eastAsia="Calibri"/>
          <w:u w:val="single"/>
        </w:rPr>
        <w:t>ograniczonego na dostawę leków</w:t>
      </w:r>
      <w:r w:rsidRPr="00F734F3">
        <w:rPr>
          <w:rFonts w:eastAsia="Calibri"/>
          <w:u w:val="single"/>
        </w:rPr>
        <w:t>, nr sprawy 63/2017.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D54451" w:rsidRDefault="00D54451" w:rsidP="00D54451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D54451" w:rsidRDefault="00D54451" w:rsidP="00D54451">
      <w:pPr>
        <w:spacing w:line="276" w:lineRule="auto"/>
        <w:ind w:firstLine="708"/>
      </w:pPr>
    </w:p>
    <w:p w:rsidR="00D54451" w:rsidRDefault="00D54451" w:rsidP="00D54451">
      <w:pPr>
        <w:rPr>
          <w:b/>
        </w:rPr>
      </w:pPr>
      <w:r w:rsidRPr="00B1216B">
        <w:rPr>
          <w:b/>
        </w:rPr>
        <w:t xml:space="preserve">Pakiet nr </w:t>
      </w:r>
      <w:bookmarkStart w:id="1" w:name="_MailEndCompose"/>
      <w:r>
        <w:rPr>
          <w:b/>
        </w:rPr>
        <w:t xml:space="preserve">1: </w:t>
      </w:r>
    </w:p>
    <w:bookmarkEnd w:id="1"/>
    <w:p w:rsidR="00D54451" w:rsidRPr="00D54451" w:rsidRDefault="00D54451" w:rsidP="00D54451">
      <w:pPr>
        <w:rPr>
          <w:bCs/>
        </w:rPr>
      </w:pPr>
      <w:r w:rsidRPr="00D54451">
        <w:rPr>
          <w:bCs/>
        </w:rPr>
        <w:t>Czy Zamawiający w zadaniach częściowych numer 8 i 9 mając na uwadze:</w:t>
      </w:r>
    </w:p>
    <w:p w:rsidR="00D54451" w:rsidRDefault="00D54451" w:rsidP="00D54451">
      <w:pPr>
        <w:pStyle w:val="Akapitzlist"/>
        <w:numPr>
          <w:ilvl w:val="0"/>
          <w:numId w:val="2"/>
        </w:numPr>
        <w:rPr>
          <w:bCs/>
        </w:rPr>
      </w:pPr>
      <w:r w:rsidRPr="00D54451">
        <w:rPr>
          <w:bCs/>
        </w:rPr>
        <w:t xml:space="preserve">treść art. 29 ust. 1 PZP, zgodnie z którym przedmiot zamówienia opisuje się w sposób jednoznaczny </w:t>
      </w:r>
      <w:r w:rsidR="003A1D37">
        <w:rPr>
          <w:bCs/>
        </w:rPr>
        <w:br/>
      </w:r>
      <w:r w:rsidRPr="00D54451">
        <w:rPr>
          <w:bCs/>
        </w:rPr>
        <w:t>i wyczerpujący, za pomocą dostatecznie dokładnych i zrozumiałych określeń, uwzględniając wszystkie wymagania i okoliczności mogące mieć wpływ na sporządzenie oferty;</w:t>
      </w:r>
    </w:p>
    <w:p w:rsidR="00D54451" w:rsidRDefault="00D54451" w:rsidP="00D54451">
      <w:pPr>
        <w:pStyle w:val="Akapitzlist"/>
        <w:numPr>
          <w:ilvl w:val="0"/>
          <w:numId w:val="2"/>
        </w:numPr>
        <w:rPr>
          <w:bCs/>
        </w:rPr>
      </w:pPr>
      <w:r w:rsidRPr="00D54451">
        <w:rPr>
          <w:bCs/>
        </w:rPr>
        <w:t xml:space="preserve">treść opisanej przez Zamawiającego w ust. 9 lit c rozdziału 1 SIWZ definicji pojęcia „produktu równoważnego”, zgodnie z którą: „Przez słowo równoważny Zamawiający rozumie produkt o parametrach nie gorszych </w:t>
      </w:r>
      <w:r w:rsidR="003A1D37">
        <w:rPr>
          <w:bCs/>
        </w:rPr>
        <w:br/>
      </w:r>
      <w:r w:rsidRPr="00D54451">
        <w:rPr>
          <w:bCs/>
        </w:rPr>
        <w:t xml:space="preserve">od opisanych w przedmiotowej SIWZ, tj. o parametrach takich samych lub lepszych w stosunku do podanych </w:t>
      </w:r>
      <w:r w:rsidR="003A1D37">
        <w:rPr>
          <w:bCs/>
        </w:rPr>
        <w:br/>
      </w:r>
      <w:r w:rsidRPr="00D54451">
        <w:rPr>
          <w:bCs/>
        </w:rPr>
        <w:t>w opisie przedmiotu zamówienia, a do oceny ich równoważności będzie brał pod uwagę wyłącznie te parametry, które podane są w opisie przedmiotu zamówienia”</w:t>
      </w:r>
    </w:p>
    <w:p w:rsidR="00D54451" w:rsidRDefault="00D54451" w:rsidP="00D54451">
      <w:pPr>
        <w:pStyle w:val="Akapitzlist"/>
        <w:numPr>
          <w:ilvl w:val="0"/>
          <w:numId w:val="2"/>
        </w:numPr>
        <w:rPr>
          <w:bCs/>
          <w:lang w:val="en-US"/>
        </w:rPr>
      </w:pPr>
      <w:r w:rsidRPr="00D54451">
        <w:rPr>
          <w:bCs/>
          <w:lang w:val="en-US"/>
        </w:rPr>
        <w:t>wnioski badania obserwacyjnego Danbio: „One-Year Clinical Outcomes in 1623 Patients with Inflammatory Arthritis Who Switched from Originator to Biosimilar Etanercept – an Observational Study from</w:t>
      </w:r>
      <w:r>
        <w:rPr>
          <w:bCs/>
          <w:lang w:val="en-US"/>
        </w:rPr>
        <w:t xml:space="preserve"> the Danish Danbio Registry[1]”</w:t>
      </w:r>
    </w:p>
    <w:p w:rsidR="00D54451" w:rsidRPr="003A1D37" w:rsidRDefault="00D54451" w:rsidP="00D54451">
      <w:pPr>
        <w:pStyle w:val="Akapitzlist"/>
        <w:numPr>
          <w:ilvl w:val="0"/>
          <w:numId w:val="2"/>
        </w:numPr>
        <w:rPr>
          <w:bCs/>
        </w:rPr>
      </w:pPr>
      <w:r w:rsidRPr="00D54451">
        <w:rPr>
          <w:bCs/>
        </w:rPr>
        <w:t xml:space="preserve">wniosek analizy retrospektywnej (przeprowadzonej na podstawie wyników badań pacjentów Kliniki) opublikowanych przez Klinikę i Poliklinikę Układowych Chorób Tkanki Łącznej, Narodowy Instytut Geriatrii, Reumatologii i Rehabilitacji im. prof. dr hab. med. Eleonory Reicher w Warszawie wskazujący, że „zmiana terapii lekiem oryginalnym na lek biopodobny wiąże się z ryzykiem wystąpienia działań niepożądanych </w:t>
      </w:r>
      <w:r w:rsidR="003A1D37">
        <w:rPr>
          <w:bCs/>
        </w:rPr>
        <w:br/>
      </w:r>
      <w:r w:rsidRPr="00D54451">
        <w:rPr>
          <w:bCs/>
        </w:rPr>
        <w:t xml:space="preserve">i nieskuteczności w przeciwieństwie do kontynuacji terapii rozpoczętej niezależnie lekiem oryginalnym lub biopodobnym[2]”, </w:t>
      </w:r>
    </w:p>
    <w:p w:rsidR="00D54451" w:rsidRDefault="00D54451" w:rsidP="00D54451">
      <w:pPr>
        <w:rPr>
          <w:bCs/>
        </w:rPr>
      </w:pPr>
      <w:r w:rsidRPr="00D54451">
        <w:rPr>
          <w:bCs/>
        </w:rPr>
        <w:t>wymaga, aby wykonawca składający ofertę na produkt równoważny do wskazanego przez Zamawiającego w OPZ leku Enbrel udowodnił równoważność na podstawie wyników badań klinicznych lub alternatywnie, jeżeli przedstawienie badań klinicznych nie jest możliwe, wyników badań dotyczących bezpieczeńs</w:t>
      </w:r>
      <w:r>
        <w:rPr>
          <w:bCs/>
        </w:rPr>
        <w:t xml:space="preserve">twa przeprowadzanych po wydaniu </w:t>
      </w:r>
      <w:r w:rsidRPr="00D54451">
        <w:rPr>
          <w:bCs/>
        </w:rPr>
        <w:t>pozwolenia na dopuszczenie do obrotu potwierdzających bezpieczeństwo zmiany produktu leczniczego referencyjnego na produkt biopodobny i biopodobnego na produkt referencyjny w każdym ze wskazań w zakresie programów lekowych na które szpital zawarł umowę z NFZ tj. B.33, B.35 B.36?</w:t>
      </w:r>
    </w:p>
    <w:p w:rsidR="00D54451" w:rsidRPr="001C533B" w:rsidRDefault="00D54451" w:rsidP="00D54451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F32310" w:rsidRDefault="00D54451" w:rsidP="00D54451">
      <w:r>
        <w:t>Nie.</w:t>
      </w:r>
      <w:r w:rsidR="003A1D37" w:rsidRPr="003A1D37">
        <w:t xml:space="preserve"> </w:t>
      </w:r>
      <w:r w:rsidR="003A1D37" w:rsidRPr="00D54451">
        <w:t>Zamawiający podtrzymuje zapisy SIWZ.</w:t>
      </w:r>
    </w:p>
    <w:p w:rsidR="00D54451" w:rsidRDefault="00D54451" w:rsidP="00D54451"/>
    <w:p w:rsidR="00D54451" w:rsidRPr="00D54451" w:rsidRDefault="00D54451" w:rsidP="00D54451">
      <w:pPr>
        <w:rPr>
          <w:b/>
        </w:rPr>
      </w:pPr>
      <w:r w:rsidRPr="00D54451">
        <w:rPr>
          <w:b/>
        </w:rPr>
        <w:t xml:space="preserve">Pakiet nr 2: </w:t>
      </w:r>
    </w:p>
    <w:p w:rsidR="00D54451" w:rsidRPr="00D54451" w:rsidRDefault="00D54451" w:rsidP="00D54451">
      <w:pPr>
        <w:widowControl w:val="0"/>
        <w:suppressAutoHyphens/>
        <w:rPr>
          <w:rFonts w:eastAsia="SimSun"/>
          <w:kern w:val="1"/>
          <w:lang w:eastAsia="hi-IN" w:bidi="hi-IN"/>
        </w:rPr>
      </w:pPr>
      <w:r w:rsidRPr="00D54451">
        <w:rPr>
          <w:rFonts w:eastAsia="SimSun"/>
          <w:kern w:val="1"/>
          <w:lang w:eastAsia="hi-IN" w:bidi="hi-IN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  pozycji itp. Zgodnie z art. 144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2, w związku z art. 144 ust. 1-1b, 1d, 1e Ustawy PZP, brak określenia warunków zmiany umowy będzie przesądzać o nieważności zapisów z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1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6 i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 xml:space="preserve">9 ust.11  umowy. Czy z związku </w:t>
      </w:r>
      <w:r w:rsidR="003A1D37">
        <w:rPr>
          <w:rFonts w:eastAsia="SimSun"/>
          <w:kern w:val="1"/>
          <w:lang w:eastAsia="hi-IN" w:bidi="hi-IN"/>
        </w:rPr>
        <w:br/>
      </w:r>
      <w:r w:rsidRPr="00D54451">
        <w:rPr>
          <w:rFonts w:eastAsia="SimSun"/>
          <w:kern w:val="1"/>
          <w:lang w:eastAsia="hi-IN" w:bidi="hi-IN"/>
        </w:rPr>
        <w:t xml:space="preserve">z tym, Zamawiający odstąpi od tych zapisów w umowie? </w:t>
      </w:r>
    </w:p>
    <w:p w:rsidR="00D54451" w:rsidRPr="00D54451" w:rsidRDefault="00D54451" w:rsidP="00D54451">
      <w:r w:rsidRPr="00D54451">
        <w:rPr>
          <w:b/>
        </w:rPr>
        <w:t>Odpowiedź:</w:t>
      </w:r>
      <w:r w:rsidRPr="00D54451">
        <w:t xml:space="preserve"> </w:t>
      </w:r>
    </w:p>
    <w:p w:rsidR="00D54451" w:rsidRPr="00D54451" w:rsidRDefault="00D54451" w:rsidP="00D54451">
      <w:r w:rsidRPr="00D54451">
        <w:t>Nie. Zamawiający podtrzymuje zapisy SIWZ.</w:t>
      </w:r>
    </w:p>
    <w:p w:rsidR="00D54451" w:rsidRPr="00D54451" w:rsidRDefault="00D54451" w:rsidP="00D54451">
      <w:pPr>
        <w:widowControl w:val="0"/>
        <w:suppressAutoHyphens/>
        <w:jc w:val="left"/>
        <w:rPr>
          <w:rFonts w:eastAsia="SimSun"/>
          <w:kern w:val="1"/>
          <w:lang w:eastAsia="hi-IN" w:bidi="hi-IN"/>
        </w:rPr>
      </w:pPr>
    </w:p>
    <w:p w:rsidR="00D54451" w:rsidRPr="00D54451" w:rsidRDefault="00D54451" w:rsidP="00D54451">
      <w:pPr>
        <w:rPr>
          <w:b/>
        </w:rPr>
      </w:pPr>
      <w:r w:rsidRPr="00D54451">
        <w:rPr>
          <w:b/>
        </w:rPr>
        <w:t xml:space="preserve">Pakiet nr </w:t>
      </w:r>
      <w:r w:rsidR="003A1D37">
        <w:rPr>
          <w:b/>
        </w:rPr>
        <w:t>3</w:t>
      </w:r>
      <w:r w:rsidRPr="00D54451">
        <w:rPr>
          <w:b/>
        </w:rPr>
        <w:t xml:space="preserve">: </w:t>
      </w:r>
    </w:p>
    <w:p w:rsidR="00D54451" w:rsidRDefault="00D54451" w:rsidP="00D54451">
      <w:pPr>
        <w:rPr>
          <w:rFonts w:eastAsia="SimSun"/>
          <w:kern w:val="1"/>
          <w:lang w:eastAsia="hi-IN" w:bidi="hi-IN"/>
        </w:rPr>
      </w:pPr>
      <w:r w:rsidRPr="00D54451">
        <w:rPr>
          <w:rFonts w:eastAsia="SimSun"/>
          <w:kern w:val="1"/>
          <w:lang w:eastAsia="hi-IN" w:bidi="hi-IN"/>
        </w:rPr>
        <w:t>Do treści 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3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11 projektu umowy prosimy o dodanie słów zgodnych z przesłanką wynikającą z treści art. 552 k.c.:  "... z wyłączeniem powołania się przez Wykonawcę na okoliczności, które zgodnie z przepisami prawa powszechnie obowiązującego uprawniają Sprzedającego do odmowy dostarczen</w:t>
      </w:r>
      <w:r>
        <w:rPr>
          <w:rFonts w:eastAsia="SimSun"/>
          <w:kern w:val="1"/>
          <w:lang w:eastAsia="hi-IN" w:bidi="hi-IN"/>
        </w:rPr>
        <w:t xml:space="preserve">ia towaru Kupującemu." </w:t>
      </w:r>
    </w:p>
    <w:p w:rsidR="00D54451" w:rsidRPr="00D54451" w:rsidRDefault="00D54451" w:rsidP="00D54451">
      <w:r w:rsidRPr="00D54451">
        <w:rPr>
          <w:b/>
        </w:rPr>
        <w:t>Odpowiedź:</w:t>
      </w:r>
      <w:r w:rsidRPr="00D54451">
        <w:t xml:space="preserve"> </w:t>
      </w:r>
    </w:p>
    <w:p w:rsidR="00D54451" w:rsidRPr="00D54451" w:rsidRDefault="00D54451" w:rsidP="00D54451">
      <w:r w:rsidRPr="00D54451">
        <w:t>Nie. Zamawiający podtrzymuje zapisy SIWZ.</w:t>
      </w:r>
    </w:p>
    <w:p w:rsidR="00D54451" w:rsidRPr="00D54451" w:rsidRDefault="00D54451" w:rsidP="00D54451">
      <w:pPr>
        <w:widowControl w:val="0"/>
        <w:suppressAutoHyphens/>
        <w:jc w:val="left"/>
        <w:rPr>
          <w:rFonts w:eastAsia="SimSun"/>
          <w:kern w:val="1"/>
          <w:lang w:eastAsia="hi-IN" w:bidi="hi-IN"/>
        </w:rPr>
      </w:pPr>
    </w:p>
    <w:p w:rsidR="00D54451" w:rsidRPr="00D54451" w:rsidRDefault="00D54451" w:rsidP="00D54451">
      <w:pPr>
        <w:rPr>
          <w:b/>
        </w:rPr>
      </w:pPr>
      <w:r w:rsidRPr="00D54451">
        <w:rPr>
          <w:b/>
        </w:rPr>
        <w:t xml:space="preserve">Pakiet nr </w:t>
      </w:r>
      <w:r w:rsidR="003A1D37">
        <w:rPr>
          <w:b/>
        </w:rPr>
        <w:t>4</w:t>
      </w:r>
      <w:r w:rsidRPr="00D54451">
        <w:rPr>
          <w:b/>
        </w:rPr>
        <w:t xml:space="preserve">: </w:t>
      </w:r>
    </w:p>
    <w:p w:rsidR="00D54451" w:rsidRDefault="00D54451" w:rsidP="00D54451">
      <w:pPr>
        <w:rPr>
          <w:rFonts w:eastAsia="SimSun"/>
          <w:kern w:val="1"/>
          <w:lang w:eastAsia="hi-IN" w:bidi="hi-IN"/>
        </w:rPr>
      </w:pPr>
      <w:r w:rsidRPr="00D54451">
        <w:rPr>
          <w:rFonts w:eastAsia="SimSun"/>
          <w:kern w:val="1"/>
          <w:lang w:eastAsia="hi-IN" w:bidi="hi-IN"/>
        </w:rPr>
        <w:t>Czy Zamawiający wyrazi zgodę na zmianę zapisu umowy w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6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1 ppkt 1) i 2) dotyczącego kar umownych za niedostarczenie w terminie zamówionej partii towaru poprzez wprowadzenie zapisu o karze w wysokości 0,2% dziennie liczonej od wartości nie dostarczonego w terminie zamówienia, a nie od wartości całej umowy?</w:t>
      </w:r>
    </w:p>
    <w:p w:rsidR="00D54451" w:rsidRPr="00D54451" w:rsidRDefault="00D54451" w:rsidP="00D54451">
      <w:pPr>
        <w:rPr>
          <w:rFonts w:eastAsia="SimSun"/>
          <w:kern w:val="1"/>
          <w:lang w:eastAsia="hi-IN" w:bidi="hi-IN"/>
        </w:rPr>
      </w:pPr>
      <w:r w:rsidRPr="00D54451">
        <w:rPr>
          <w:b/>
        </w:rPr>
        <w:lastRenderedPageBreak/>
        <w:t>Odpowiedź:</w:t>
      </w:r>
      <w:r w:rsidRPr="00D54451">
        <w:t xml:space="preserve"> </w:t>
      </w:r>
    </w:p>
    <w:p w:rsidR="00D54451" w:rsidRPr="00D54451" w:rsidRDefault="00D54451" w:rsidP="00D54451">
      <w:r w:rsidRPr="00D54451">
        <w:t>Nie. Zamawiający podtrzymuje zapisy SIWZ.</w:t>
      </w:r>
    </w:p>
    <w:p w:rsidR="00D54451" w:rsidRPr="00D54451" w:rsidRDefault="00D54451" w:rsidP="00D54451">
      <w:pPr>
        <w:widowControl w:val="0"/>
        <w:suppressAutoHyphens/>
        <w:jc w:val="left"/>
        <w:rPr>
          <w:rFonts w:eastAsia="SimSun"/>
          <w:kern w:val="1"/>
          <w:lang w:eastAsia="hi-IN" w:bidi="hi-IN"/>
        </w:rPr>
      </w:pPr>
    </w:p>
    <w:p w:rsidR="00D54451" w:rsidRPr="00D54451" w:rsidRDefault="00D54451" w:rsidP="00D54451">
      <w:pPr>
        <w:rPr>
          <w:b/>
        </w:rPr>
      </w:pPr>
      <w:r w:rsidRPr="00D54451">
        <w:rPr>
          <w:b/>
        </w:rPr>
        <w:t xml:space="preserve">Pakiet nr </w:t>
      </w:r>
      <w:r w:rsidR="003A1D37">
        <w:rPr>
          <w:b/>
        </w:rPr>
        <w:t>5</w:t>
      </w:r>
      <w:r w:rsidRPr="00D54451">
        <w:rPr>
          <w:b/>
        </w:rPr>
        <w:t xml:space="preserve">: </w:t>
      </w:r>
    </w:p>
    <w:p w:rsidR="00D54451" w:rsidRDefault="00D54451" w:rsidP="00D54451">
      <w:pPr>
        <w:rPr>
          <w:rFonts w:eastAsia="SimSun"/>
          <w:kern w:val="1"/>
          <w:lang w:eastAsia="hi-IN" w:bidi="hi-IN"/>
        </w:rPr>
      </w:pPr>
      <w:r w:rsidRPr="00D54451">
        <w:rPr>
          <w:rFonts w:eastAsia="SimSun"/>
          <w:kern w:val="1"/>
          <w:lang w:eastAsia="hi-IN" w:bidi="hi-IN"/>
        </w:rPr>
        <w:t>Czy Zamawiający wyrazi zgodę na zmianę zapisów wzoru umowy w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6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1 ppkt 3) - 5) poprzez zapis o ewentualnej karze za odstąpienie od umowy w wysokości 10% wartości NIEZREALIZOWANEJ części przedmiotu umowy?</w:t>
      </w:r>
    </w:p>
    <w:p w:rsidR="00D54451" w:rsidRPr="00D54451" w:rsidRDefault="00D54451" w:rsidP="00D54451">
      <w:r w:rsidRPr="00D54451">
        <w:rPr>
          <w:b/>
        </w:rPr>
        <w:t>Odpowiedź:</w:t>
      </w:r>
      <w:r w:rsidRPr="00D54451">
        <w:t xml:space="preserve"> </w:t>
      </w:r>
    </w:p>
    <w:p w:rsidR="00D54451" w:rsidRPr="00D54451" w:rsidRDefault="00D54451" w:rsidP="00D54451">
      <w:r w:rsidRPr="00D54451">
        <w:t>Nie. Zamawiający podtrzymuje zapisy SIWZ.</w:t>
      </w:r>
    </w:p>
    <w:p w:rsidR="00D54451" w:rsidRPr="00D54451" w:rsidRDefault="00D54451" w:rsidP="00D54451">
      <w:pPr>
        <w:widowControl w:val="0"/>
        <w:suppressAutoHyphens/>
        <w:jc w:val="left"/>
        <w:rPr>
          <w:rFonts w:eastAsia="SimSun"/>
          <w:kern w:val="1"/>
          <w:lang w:eastAsia="hi-IN" w:bidi="hi-IN"/>
        </w:rPr>
      </w:pPr>
    </w:p>
    <w:p w:rsidR="00D54451" w:rsidRPr="00D54451" w:rsidRDefault="00D54451" w:rsidP="00D54451">
      <w:pPr>
        <w:rPr>
          <w:b/>
        </w:rPr>
      </w:pPr>
      <w:r w:rsidRPr="00D54451">
        <w:rPr>
          <w:b/>
        </w:rPr>
        <w:t xml:space="preserve">Pakiet nr </w:t>
      </w:r>
      <w:r w:rsidR="003A1D37">
        <w:rPr>
          <w:b/>
        </w:rPr>
        <w:t>6</w:t>
      </w:r>
      <w:r w:rsidRPr="00D54451">
        <w:rPr>
          <w:b/>
        </w:rPr>
        <w:t xml:space="preserve">: </w:t>
      </w:r>
    </w:p>
    <w:p w:rsidR="00D54451" w:rsidRPr="00D54451" w:rsidRDefault="00D54451" w:rsidP="00D54451">
      <w:r w:rsidRPr="00D54451">
        <w:rPr>
          <w:rFonts w:eastAsia="SimSun"/>
          <w:kern w:val="1"/>
          <w:lang w:eastAsia="hi-IN" w:bidi="hi-IN"/>
        </w:rPr>
        <w:t>Czy zamawiający wyrazi zgodę na zmianę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9 ust. 1 pkt 1) projektu umowy, poprzez skrócenie okresu o jaki umowa może być przedłużona w ten sposób, że w §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1 ust.</w:t>
      </w:r>
      <w:r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>4 i §</w:t>
      </w:r>
      <w:r w:rsidR="003A1D37">
        <w:rPr>
          <w:rFonts w:eastAsia="SimSun"/>
          <w:kern w:val="1"/>
          <w:lang w:eastAsia="hi-IN" w:bidi="hi-IN"/>
        </w:rPr>
        <w:t xml:space="preserve"> </w:t>
      </w:r>
      <w:r w:rsidRPr="00D54451">
        <w:rPr>
          <w:rFonts w:eastAsia="SimSun"/>
          <w:kern w:val="1"/>
          <w:lang w:eastAsia="hi-IN" w:bidi="hi-IN"/>
        </w:rPr>
        <w:t xml:space="preserve">9 ust.1) pkt 1) projektu umowy część zdania w brzmieniu „nie więcej niż na okres 48 miesięcy”, zastąpić brzemieniem: „nie więcej niż na okres 1,5 roku od dnia jej podpisania”. </w:t>
      </w:r>
      <w:r w:rsidRPr="00D54451">
        <w:rPr>
          <w:rFonts w:eastAsia="SimSun"/>
          <w:kern w:val="1"/>
          <w:lang w:eastAsia="hi-IN" w:bidi="hi-IN"/>
        </w:rPr>
        <w:br/>
      </w:r>
      <w:r w:rsidRPr="00D54451">
        <w:rPr>
          <w:b/>
        </w:rPr>
        <w:t>Odpowiedź:</w:t>
      </w:r>
      <w:r w:rsidRPr="00D54451">
        <w:t xml:space="preserve"> </w:t>
      </w:r>
    </w:p>
    <w:p w:rsidR="00D54451" w:rsidRPr="00D54451" w:rsidRDefault="00D54451" w:rsidP="00D54451">
      <w:r w:rsidRPr="00D54451">
        <w:t>Nie. Zamawiający podtrzymuje zapisy SIWZ.</w:t>
      </w:r>
    </w:p>
    <w:p w:rsidR="00D54451" w:rsidRPr="00D54451" w:rsidRDefault="00D54451" w:rsidP="00D54451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Pytanie </w:t>
      </w:r>
      <w:r w:rsidR="003A1D37">
        <w:rPr>
          <w:rFonts w:eastAsia="MS Mincho"/>
          <w:b/>
          <w:lang w:eastAsia="zh-CN"/>
        </w:rPr>
        <w:t>nr 7: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zh-CN"/>
        </w:rPr>
      </w:pPr>
      <w:r w:rsidRPr="00D54451">
        <w:rPr>
          <w:color w:val="000000"/>
          <w:u w:val="single"/>
          <w:lang w:eastAsia="zh-CN"/>
        </w:rPr>
        <w:t>Dotyczy pakietu nr 2 poz. 1:</w:t>
      </w:r>
      <w:r w:rsidRPr="00D54451">
        <w:rPr>
          <w:color w:val="000000"/>
          <w:lang w:eastAsia="zh-CN"/>
        </w:rPr>
        <w:t xml:space="preserve"> </w:t>
      </w:r>
      <w:r w:rsidRPr="00D54451">
        <w:rPr>
          <w:rFonts w:eastAsia="MS Mincho"/>
          <w:lang w:eastAsia="zh-CN"/>
        </w:rPr>
        <w:t xml:space="preserve">Czy Zamawiający dopuści zaoferowanie produktu leczniczego Mefetili Mycophenolas </w:t>
      </w:r>
      <w:r>
        <w:rPr>
          <w:rFonts w:eastAsia="MS Mincho"/>
          <w:lang w:eastAsia="zh-CN"/>
        </w:rPr>
        <w:br/>
      </w:r>
      <w:r w:rsidRPr="00D54451">
        <w:rPr>
          <w:rFonts w:eastAsia="MS Mincho"/>
          <w:lang w:eastAsia="zh-CN"/>
        </w:rPr>
        <w:t>0,5 g w postaci tabletek powlekanych?</w:t>
      </w:r>
    </w:p>
    <w:p w:rsidR="00D54451" w:rsidRPr="00D54451" w:rsidRDefault="00D54451" w:rsidP="00D54451">
      <w:r w:rsidRPr="00D54451">
        <w:rPr>
          <w:b/>
        </w:rPr>
        <w:t>Odpowiedź:</w:t>
      </w:r>
      <w:r w:rsidRPr="00D54451">
        <w:t xml:space="preserve"> </w:t>
      </w:r>
    </w:p>
    <w:p w:rsidR="00D54451" w:rsidRDefault="00D54451" w:rsidP="00D54451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rFonts w:eastAsia="MS Mincho"/>
          <w:lang w:eastAsia="zh-CN"/>
        </w:rPr>
        <w:t>Tak.</w:t>
      </w:r>
    </w:p>
    <w:p w:rsidR="003A1D37" w:rsidRPr="00D54451" w:rsidRDefault="003A1D37" w:rsidP="00D54451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Pytanie </w:t>
      </w:r>
      <w:r w:rsidR="003A1D37">
        <w:rPr>
          <w:b/>
          <w:color w:val="000000"/>
          <w:lang w:eastAsia="zh-CN"/>
        </w:rPr>
        <w:t>nr 8: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color w:val="000000"/>
          <w:u w:val="single"/>
          <w:lang w:eastAsia="zh-CN"/>
        </w:rPr>
      </w:pPr>
      <w:r w:rsidRPr="00D54451">
        <w:rPr>
          <w:color w:val="000000"/>
          <w:u w:val="single"/>
          <w:lang w:eastAsia="zh-CN"/>
        </w:rPr>
        <w:t xml:space="preserve">Dotyczy pakietu nr </w:t>
      </w:r>
      <w:r>
        <w:rPr>
          <w:color w:val="000000"/>
          <w:u w:val="single"/>
          <w:lang w:eastAsia="zh-CN"/>
        </w:rPr>
        <w:t>2:</w:t>
      </w:r>
      <w:r>
        <w:rPr>
          <w:color w:val="000000"/>
          <w:lang w:eastAsia="zh-CN"/>
        </w:rPr>
        <w:t xml:space="preserve"> </w:t>
      </w:r>
      <w:r w:rsidRPr="00D54451">
        <w:rPr>
          <w:color w:val="000000"/>
          <w:lang w:eastAsia="zh-CN"/>
        </w:rPr>
        <w:t xml:space="preserve">Czy ze względu na szeroko stosowane i rekomendowane w zaleceniach leczenia immunosupresyjnego - wykraczające poza charakterystykę produktu leczniczego skojarzone stosowanie mykofenolanu mofetylu z takrolimusem,  Zamawiający wymaga, aby produkt leczniczy zawierający MMF miał udokumentowaną </w:t>
      </w:r>
      <w:r>
        <w:rPr>
          <w:color w:val="000000"/>
          <w:lang w:eastAsia="zh-CN"/>
        </w:rPr>
        <w:br/>
      </w:r>
      <w:r w:rsidRPr="00D54451">
        <w:rPr>
          <w:color w:val="000000"/>
          <w:lang w:eastAsia="zh-CN"/>
        </w:rPr>
        <w:t>w uznanych czas</w:t>
      </w:r>
      <w:r>
        <w:rPr>
          <w:color w:val="000000"/>
          <w:lang w:eastAsia="zh-CN"/>
        </w:rPr>
        <w:t xml:space="preserve">opismach medycznych skuteczność </w:t>
      </w:r>
      <w:r w:rsidRPr="00D54451">
        <w:rPr>
          <w:color w:val="000000"/>
          <w:lang w:eastAsia="zh-CN"/>
        </w:rPr>
        <w:t>i bezpieczeństwo po trans</w:t>
      </w:r>
      <w:r w:rsidR="003A1D37">
        <w:rPr>
          <w:color w:val="000000"/>
          <w:lang w:eastAsia="zh-CN"/>
        </w:rPr>
        <w:t xml:space="preserve">plantacji nerki w skojarzeniu </w:t>
      </w:r>
      <w:r w:rsidR="003A1D37">
        <w:rPr>
          <w:color w:val="000000"/>
          <w:lang w:eastAsia="zh-CN"/>
        </w:rPr>
        <w:br/>
      </w:r>
      <w:r>
        <w:rPr>
          <w:color w:val="000000"/>
          <w:lang w:eastAsia="zh-CN"/>
        </w:rPr>
        <w:t xml:space="preserve">z </w:t>
      </w:r>
      <w:r w:rsidRPr="00D54451">
        <w:rPr>
          <w:color w:val="000000"/>
          <w:lang w:eastAsia="zh-CN"/>
        </w:rPr>
        <w:t>takrolimusem?</w:t>
      </w:r>
    </w:p>
    <w:p w:rsidR="003A1D37" w:rsidRPr="00D54451" w:rsidRDefault="003A1D37" w:rsidP="003A1D37">
      <w:r w:rsidRPr="00D54451">
        <w:rPr>
          <w:b/>
        </w:rPr>
        <w:t>Odpowiedź:</w:t>
      </w:r>
      <w:r w:rsidRPr="00D54451">
        <w:t xml:space="preserve"> </w:t>
      </w:r>
    </w:p>
    <w:p w:rsidR="003A1D37" w:rsidRDefault="003A1D37" w:rsidP="003A1D3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rFonts w:eastAsia="MS Mincho"/>
          <w:lang w:eastAsia="zh-CN"/>
        </w:rPr>
        <w:t>Tak.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:rsidR="00D54451" w:rsidRPr="00D54451" w:rsidRDefault="003A1D37" w:rsidP="00D54451">
      <w:pPr>
        <w:widowControl w:val="0"/>
        <w:autoSpaceDE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Pytanie nr 9: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color w:val="000000"/>
          <w:u w:val="single"/>
          <w:lang w:eastAsia="zh-CN"/>
        </w:rPr>
      </w:pPr>
      <w:r w:rsidRPr="00D54451">
        <w:rPr>
          <w:color w:val="000000"/>
          <w:u w:val="single"/>
          <w:lang w:eastAsia="zh-CN"/>
        </w:rPr>
        <w:t>Dotyczy pakietu nr 2</w:t>
      </w:r>
      <w:r>
        <w:rPr>
          <w:color w:val="000000"/>
          <w:u w:val="single"/>
          <w:lang w:eastAsia="zh-CN"/>
        </w:rPr>
        <w:t>:</w:t>
      </w:r>
      <w:r>
        <w:rPr>
          <w:color w:val="000000"/>
          <w:lang w:eastAsia="zh-CN"/>
        </w:rPr>
        <w:t xml:space="preserve"> </w:t>
      </w:r>
      <w:r w:rsidRPr="00D54451">
        <w:rPr>
          <w:color w:val="000000"/>
          <w:lang w:eastAsia="zh-CN"/>
        </w:rPr>
        <w:t>Czy zamawiający wymaga, aby produkt leczniczy zawierający MMF miał</w:t>
      </w:r>
      <w:r>
        <w:rPr>
          <w:color w:val="000000"/>
          <w:u w:val="single"/>
          <w:lang w:eastAsia="zh-CN"/>
        </w:rPr>
        <w:t xml:space="preserve"> </w:t>
      </w:r>
      <w:r w:rsidRPr="00D54451">
        <w:rPr>
          <w:color w:val="000000"/>
          <w:lang w:eastAsia="zh-CN"/>
        </w:rPr>
        <w:t xml:space="preserve">udokumentowaną </w:t>
      </w:r>
      <w:r w:rsidR="003A1D37">
        <w:rPr>
          <w:color w:val="000000"/>
          <w:lang w:eastAsia="zh-CN"/>
        </w:rPr>
        <w:br/>
      </w:r>
      <w:r w:rsidRPr="00D54451">
        <w:rPr>
          <w:color w:val="000000"/>
          <w:lang w:eastAsia="zh-CN"/>
        </w:rPr>
        <w:t>w uznanych czasopismach medycznych możliwość</w:t>
      </w:r>
      <w:r>
        <w:rPr>
          <w:color w:val="000000"/>
          <w:u w:val="single"/>
          <w:lang w:eastAsia="zh-CN"/>
        </w:rPr>
        <w:t xml:space="preserve"> </w:t>
      </w:r>
      <w:r w:rsidRPr="00D54451">
        <w:rPr>
          <w:color w:val="000000"/>
          <w:lang w:eastAsia="zh-CN"/>
        </w:rPr>
        <w:t>monitorowania stężenia MPA przy wykorzystaniu opracowanych dla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D54451">
        <w:rPr>
          <w:color w:val="000000"/>
          <w:lang w:eastAsia="zh-CN"/>
        </w:rPr>
        <w:t>konkretnego produktu leczniczego wzorów LSS (skróconych 3-punktowych</w:t>
      </w:r>
      <w:r>
        <w:rPr>
          <w:color w:val="000000"/>
          <w:lang w:eastAsia="zh-CN"/>
        </w:rPr>
        <w:t xml:space="preserve"> </w:t>
      </w:r>
      <w:r w:rsidRPr="00D54451">
        <w:rPr>
          <w:color w:val="000000"/>
          <w:lang w:eastAsia="zh-CN"/>
        </w:rPr>
        <w:t>wzorów pozwalających wyliczyć AUC MPA), co jest istotne ze względu na</w:t>
      </w:r>
      <w:r>
        <w:rPr>
          <w:color w:val="000000"/>
          <w:lang w:eastAsia="zh-CN"/>
        </w:rPr>
        <w:t xml:space="preserve"> </w:t>
      </w:r>
      <w:r w:rsidRPr="00D54451">
        <w:rPr>
          <w:color w:val="000000"/>
          <w:lang w:eastAsia="zh-CN"/>
        </w:rPr>
        <w:t>różnice w profilach farmakokinetycznych pomiędzy lekami zawierającym</w:t>
      </w:r>
      <w:r>
        <w:rPr>
          <w:color w:val="000000"/>
          <w:lang w:eastAsia="zh-CN"/>
        </w:rPr>
        <w:t xml:space="preserve"> </w:t>
      </w:r>
      <w:r w:rsidRPr="00D54451">
        <w:rPr>
          <w:color w:val="000000"/>
          <w:lang w:eastAsia="zh-CN"/>
        </w:rPr>
        <w:t>MMF.</w:t>
      </w:r>
    </w:p>
    <w:p w:rsidR="003A1D37" w:rsidRPr="00D54451" w:rsidRDefault="003A1D37" w:rsidP="003A1D37">
      <w:r w:rsidRPr="00D54451">
        <w:rPr>
          <w:b/>
        </w:rPr>
        <w:t>Odpowiedź:</w:t>
      </w:r>
      <w:r w:rsidRPr="00D54451">
        <w:t xml:space="preserve"> </w:t>
      </w:r>
    </w:p>
    <w:p w:rsidR="003A1D37" w:rsidRDefault="003A1D37" w:rsidP="003A1D3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rFonts w:eastAsia="MS Mincho"/>
          <w:lang w:eastAsia="zh-CN"/>
        </w:rPr>
        <w:t>Tak.</w:t>
      </w:r>
    </w:p>
    <w:p w:rsidR="00D54451" w:rsidRPr="00D54451" w:rsidRDefault="00D54451" w:rsidP="00D54451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:rsidR="00D54451" w:rsidRPr="00D54451" w:rsidRDefault="00D54451" w:rsidP="00D54451"/>
    <w:sectPr w:rsidR="00D54451" w:rsidRPr="00D54451" w:rsidSect="001C533B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BE" w:rsidRDefault="004A54BE" w:rsidP="00D54451">
      <w:r>
        <w:separator/>
      </w:r>
    </w:p>
  </w:endnote>
  <w:endnote w:type="continuationSeparator" w:id="0">
    <w:p w:rsidR="004A54BE" w:rsidRDefault="004A54BE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BE" w:rsidRDefault="004A54BE" w:rsidP="00D54451">
      <w:r>
        <w:separator/>
      </w:r>
    </w:p>
  </w:footnote>
  <w:footnote w:type="continuationSeparator" w:id="0">
    <w:p w:rsidR="004A54BE" w:rsidRDefault="004A54BE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3A1D37"/>
    <w:rsid w:val="004A54BE"/>
    <w:rsid w:val="008F56BD"/>
    <w:rsid w:val="009908F2"/>
    <w:rsid w:val="00D54451"/>
    <w:rsid w:val="00F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2017-12-14T10:16:00Z</dcterms:created>
  <dcterms:modified xsi:type="dcterms:W3CDTF">2017-12-14T10:16:00Z</dcterms:modified>
</cp:coreProperties>
</file>